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94" w:rsidRPr="00A0063A" w:rsidRDefault="009E71E1" w:rsidP="00774447">
      <w:pPr>
        <w:jc w:val="both"/>
      </w:pPr>
      <w:r w:rsidRPr="009E71E1">
        <w:rPr>
          <w:b/>
        </w:rPr>
        <w:t>SOSPETTO DIAGNOSTICO</w:t>
      </w:r>
      <w:r w:rsidR="00A0063A">
        <w:t xml:space="preserve">: </w:t>
      </w:r>
      <w:r w:rsidR="008411D5" w:rsidRPr="0063478B">
        <w:rPr>
          <w:b/>
        </w:rPr>
        <w:t>IPERAMMONIEMIA</w:t>
      </w:r>
    </w:p>
    <w:p w:rsidR="00B90BA8" w:rsidRPr="00694E36" w:rsidRDefault="00B90BA8" w:rsidP="00774447">
      <w:pPr>
        <w:jc w:val="both"/>
      </w:pPr>
    </w:p>
    <w:p w:rsidR="00A07152" w:rsidRDefault="009E71E1" w:rsidP="00774447">
      <w:pPr>
        <w:jc w:val="both"/>
      </w:pPr>
      <w:r w:rsidRPr="009E71E1">
        <w:rPr>
          <w:b/>
        </w:rPr>
        <w:t>Definizione della patologia sospettata</w:t>
      </w:r>
    </w:p>
    <w:p w:rsidR="0002456C" w:rsidRDefault="0002456C" w:rsidP="00774447">
      <w:pPr>
        <w:jc w:val="both"/>
      </w:pPr>
      <w:r>
        <w:t>Condizione</w:t>
      </w:r>
      <w:r w:rsidR="00D95906">
        <w:t xml:space="preserve"> clinica</w:t>
      </w:r>
      <w:r>
        <w:t xml:space="preserve"> caratterizzata da un aumento dei valori </w:t>
      </w:r>
      <w:r w:rsidR="00D95906">
        <w:t xml:space="preserve">ematici </w:t>
      </w:r>
      <w:r>
        <w:t>di ammonio</w:t>
      </w:r>
      <w:r w:rsidR="001B2947">
        <w:t xml:space="preserve"> </w:t>
      </w:r>
      <w:r w:rsidR="00D95906">
        <w:t>(</w:t>
      </w:r>
      <w:r w:rsidR="001B2947">
        <w:t xml:space="preserve">al di sopra </w:t>
      </w:r>
      <w:r w:rsidR="0039728E">
        <w:t>del limite</w:t>
      </w:r>
      <w:r w:rsidR="00D95906">
        <w:t xml:space="preserve"> superiore </w:t>
      </w:r>
      <w:r w:rsidR="001B2947">
        <w:t xml:space="preserve">dell’intervallo di </w:t>
      </w:r>
      <w:r w:rsidR="00707825">
        <w:t>riferimento</w:t>
      </w:r>
      <w:r w:rsidR="00D95906">
        <w:t>) e da segni e sintomi clinici tipici di uno scompenso metabolico, legato all’intossicazione da eccesso di ammonio</w:t>
      </w:r>
      <w:r w:rsidR="00707825">
        <w:t>.</w:t>
      </w:r>
      <w:r w:rsidR="00BC4B9C">
        <w:t xml:space="preserve"> Tale condizione può associarsi a differenti patologie metaboliche (errori congeniti del metabolismo delle proteine, dei lipidi, insufficienza epatica, patologia muscolari/cardiache)</w:t>
      </w:r>
    </w:p>
    <w:p w:rsidR="00BC4B9C" w:rsidRDefault="00BC4B9C" w:rsidP="00774447">
      <w:pPr>
        <w:jc w:val="both"/>
      </w:pPr>
    </w:p>
    <w:p w:rsidR="00570039" w:rsidRDefault="00895FFF" w:rsidP="00774447">
      <w:pPr>
        <w:jc w:val="both"/>
        <w:rPr>
          <w:b/>
        </w:rPr>
      </w:pPr>
      <w:r w:rsidRPr="009E71E1">
        <w:rPr>
          <w:b/>
        </w:rPr>
        <w:t>Tipologia di pazienti</w:t>
      </w:r>
    </w:p>
    <w:p w:rsidR="00694E36" w:rsidRPr="00694E36" w:rsidRDefault="00694E36" w:rsidP="00774447">
      <w:pPr>
        <w:jc w:val="both"/>
        <w:rPr>
          <w:b/>
          <w:sz w:val="16"/>
          <w:szCs w:val="16"/>
        </w:rPr>
      </w:pPr>
    </w:p>
    <w:p w:rsidR="008411D5" w:rsidRPr="007D0046" w:rsidRDefault="008411D5" w:rsidP="00A07152">
      <w:pPr>
        <w:jc w:val="both"/>
        <w:rPr>
          <w:u w:val="single"/>
        </w:rPr>
      </w:pPr>
      <w:r w:rsidRPr="007D0046">
        <w:rPr>
          <w:u w:val="single"/>
        </w:rPr>
        <w:t xml:space="preserve">Valori di Ammoniemia </w:t>
      </w:r>
      <w:r w:rsidR="007D0046" w:rsidRPr="007D0046">
        <w:rPr>
          <w:u w:val="single"/>
        </w:rPr>
        <w:t xml:space="preserve">normali </w:t>
      </w:r>
      <w:r w:rsidRPr="007D0046">
        <w:rPr>
          <w:u w:val="single"/>
        </w:rPr>
        <w:t>per età</w:t>
      </w:r>
      <w:r w:rsidR="007D0046">
        <w:rPr>
          <w:u w:val="single"/>
        </w:rPr>
        <w:t>:</w:t>
      </w:r>
    </w:p>
    <w:p w:rsidR="00A07152" w:rsidRDefault="008411D5" w:rsidP="00A07152">
      <w:pPr>
        <w:jc w:val="both"/>
      </w:pPr>
      <w:r>
        <w:t>Neonato</w:t>
      </w:r>
      <w:r w:rsidR="007D0046">
        <w:t xml:space="preserve"> (vn &lt;110 umol/L)</w:t>
      </w:r>
    </w:p>
    <w:p w:rsidR="007D0046" w:rsidRDefault="007D0046" w:rsidP="00A07152">
      <w:pPr>
        <w:jc w:val="both"/>
      </w:pPr>
      <w:r>
        <w:t>Prematuro (vn &lt;180 umol/L)</w:t>
      </w:r>
    </w:p>
    <w:p w:rsidR="007D0046" w:rsidRDefault="007D0046" w:rsidP="00A07152">
      <w:pPr>
        <w:jc w:val="both"/>
      </w:pPr>
      <w:r>
        <w:t>Dopo il periodo neonatale (vn 50-80 umol/L)</w:t>
      </w:r>
    </w:p>
    <w:p w:rsidR="007D0046" w:rsidRDefault="007D0046" w:rsidP="00A07152">
      <w:pPr>
        <w:jc w:val="both"/>
      </w:pPr>
    </w:p>
    <w:p w:rsidR="007D0046" w:rsidRPr="007D0046" w:rsidRDefault="007D0046" w:rsidP="00A07152">
      <w:pPr>
        <w:jc w:val="both"/>
        <w:rPr>
          <w:u w:val="single"/>
        </w:rPr>
      </w:pPr>
      <w:r w:rsidRPr="007D0046">
        <w:rPr>
          <w:u w:val="single"/>
        </w:rPr>
        <w:t>Sos</w:t>
      </w:r>
      <w:r>
        <w:rPr>
          <w:u w:val="single"/>
        </w:rPr>
        <w:t>petto di patologia metabolica quando ammoniemia:</w:t>
      </w:r>
      <w:r w:rsidRPr="007D0046">
        <w:rPr>
          <w:u w:val="single"/>
        </w:rPr>
        <w:t xml:space="preserve"> </w:t>
      </w:r>
    </w:p>
    <w:p w:rsidR="007D0046" w:rsidRDefault="007D0046" w:rsidP="007D0046">
      <w:pPr>
        <w:jc w:val="both"/>
      </w:pPr>
      <w:r>
        <w:t>Neonato &gt;200 umol/L</w:t>
      </w:r>
    </w:p>
    <w:p w:rsidR="007D0046" w:rsidRDefault="00C2062E" w:rsidP="007D0046">
      <w:pPr>
        <w:jc w:val="both"/>
      </w:pPr>
      <w:r>
        <w:t>Dopo il periodo neonatale &gt;1</w:t>
      </w:r>
      <w:r w:rsidR="007D0046">
        <w:t>00 umol/L</w:t>
      </w:r>
    </w:p>
    <w:p w:rsidR="0002456C" w:rsidRDefault="0002456C" w:rsidP="007D0046">
      <w:pPr>
        <w:jc w:val="both"/>
      </w:pPr>
    </w:p>
    <w:p w:rsidR="0002456C" w:rsidRPr="00C2062E" w:rsidRDefault="0002456C" w:rsidP="007D0046">
      <w:pPr>
        <w:jc w:val="both"/>
        <w:rPr>
          <w:u w:val="single"/>
        </w:rPr>
      </w:pPr>
      <w:r>
        <w:t xml:space="preserve">NB. Importante la modalità del prelievo (venoso/arterioso) che va eseguito </w:t>
      </w:r>
      <w:r w:rsidRPr="00C2062E">
        <w:rPr>
          <w:u w:val="single"/>
        </w:rPr>
        <w:t>senza laccio emostatico, posto in ghiaccio ed immediatamente analizzato</w:t>
      </w:r>
    </w:p>
    <w:p w:rsidR="00A07152" w:rsidRDefault="00A07152" w:rsidP="00A07152">
      <w:pPr>
        <w:jc w:val="both"/>
      </w:pPr>
    </w:p>
    <w:p w:rsidR="009E71E1" w:rsidRPr="009E71E1" w:rsidRDefault="009E71E1" w:rsidP="00774447">
      <w:pPr>
        <w:jc w:val="both"/>
        <w:rPr>
          <w:sz w:val="8"/>
          <w:szCs w:val="8"/>
        </w:rPr>
      </w:pPr>
    </w:p>
    <w:p w:rsidR="00FE7E94" w:rsidRDefault="00C2062E" w:rsidP="00774447">
      <w:pPr>
        <w:jc w:val="both"/>
      </w:pPr>
      <w:r w:rsidRPr="008411D5">
        <w:rPr>
          <w:u w:val="single"/>
        </w:rPr>
        <w:t>Quadro clinico</w:t>
      </w:r>
      <w:r>
        <w:t xml:space="preserve">: vomito, disidratazione, obnubilamento del sensorio, letargia, alterazioni respiratorie (tachipnea/polipnea), ipotonia. </w:t>
      </w:r>
    </w:p>
    <w:p w:rsidR="00C2062E" w:rsidRDefault="00C2062E" w:rsidP="00774447">
      <w:pPr>
        <w:jc w:val="both"/>
      </w:pPr>
    </w:p>
    <w:p w:rsidR="00DF7D11" w:rsidRDefault="00C2062E" w:rsidP="00774447">
      <w:pPr>
        <w:jc w:val="both"/>
      </w:pPr>
      <w:r w:rsidRPr="00C2062E">
        <w:rPr>
          <w:u w:val="single"/>
        </w:rPr>
        <w:t>Diagnosi differenziale</w:t>
      </w:r>
      <w:r>
        <w:t>: difetti del ciclo dell’urea, organico acidurie e difetti della beta ossidazione a lunga catena, sindrome da iperinsulinismo-iperammoniemia, grave insufficienza epatica, iperammoniemia transitoria, intensa attività muscolare</w:t>
      </w:r>
      <w:r w:rsidR="0039728E">
        <w:t>.</w:t>
      </w:r>
    </w:p>
    <w:p w:rsidR="00DF7D11" w:rsidRPr="00694E36" w:rsidRDefault="00DF7D11" w:rsidP="00774447">
      <w:pPr>
        <w:jc w:val="both"/>
      </w:pPr>
      <w:r>
        <w:t>Per la diagnostica differenziale considerare i livelli di Citrullina plasmatici, di acido orotico urinario e il profilo di Acilcarnitine plasmatiche e acidi organici urinari.</w:t>
      </w:r>
    </w:p>
    <w:p w:rsidR="00A07152" w:rsidRDefault="00A07152" w:rsidP="00774447">
      <w:pPr>
        <w:jc w:val="both"/>
        <w:rPr>
          <w:b/>
        </w:rPr>
      </w:pPr>
    </w:p>
    <w:p w:rsidR="00A07152" w:rsidRDefault="009E71E1" w:rsidP="00774447">
      <w:pPr>
        <w:jc w:val="both"/>
        <w:rPr>
          <w:b/>
        </w:rPr>
      </w:pPr>
      <w:r w:rsidRPr="009E71E1">
        <w:rPr>
          <w:b/>
        </w:rPr>
        <w:t>Iter diagnostico</w:t>
      </w:r>
    </w:p>
    <w:p w:rsidR="005F2C59" w:rsidRPr="005F2C59" w:rsidRDefault="00D95906" w:rsidP="005F2C59">
      <w:pPr>
        <w:jc w:val="both"/>
      </w:pPr>
      <w:r>
        <w:t>Valutare parametri vitali,</w:t>
      </w:r>
      <w:r w:rsidR="005F2C59" w:rsidRPr="005F2C59">
        <w:t xml:space="preserve"> segni e sintomi di deterioramento neurologico (orientamento nel tempo e nello spazio, risposta agli stimoli verbali e dolorifici, torpore, afasia, irritabilità), e l’eventuale presenza di vomito incoercibile o alvo stiptico</w:t>
      </w:r>
      <w:r>
        <w:t>.</w:t>
      </w:r>
    </w:p>
    <w:p w:rsidR="005F2C59" w:rsidRPr="005F2C59" w:rsidRDefault="005F2C59" w:rsidP="005F2C59">
      <w:pPr>
        <w:jc w:val="both"/>
      </w:pPr>
    </w:p>
    <w:p w:rsidR="009E71E1" w:rsidRPr="00BC4B9C" w:rsidRDefault="009E71E1" w:rsidP="00FE7E94">
      <w:pPr>
        <w:jc w:val="both"/>
        <w:rPr>
          <w:u w:val="single"/>
        </w:rPr>
      </w:pPr>
      <w:r w:rsidRPr="00BC4B9C">
        <w:rPr>
          <w:u w:val="single"/>
        </w:rPr>
        <w:t>Indagini di 1° livello:</w:t>
      </w:r>
    </w:p>
    <w:p w:rsidR="009428E5" w:rsidRPr="009428E5" w:rsidRDefault="009428E5" w:rsidP="009428E5">
      <w:pPr>
        <w:ind w:left="360"/>
        <w:jc w:val="both"/>
        <w:rPr>
          <w:u w:val="single"/>
        </w:rPr>
      </w:pPr>
      <w:r w:rsidRPr="009428E5">
        <w:rPr>
          <w:u w:val="single"/>
        </w:rPr>
        <w:t>Prelievi per:</w:t>
      </w:r>
    </w:p>
    <w:p w:rsidR="00A07152" w:rsidRDefault="009428E5" w:rsidP="009428E5">
      <w:pPr>
        <w:numPr>
          <w:ilvl w:val="0"/>
          <w:numId w:val="3"/>
        </w:numPr>
        <w:jc w:val="both"/>
      </w:pPr>
      <w:r>
        <w:t>Elettroliti</w:t>
      </w:r>
    </w:p>
    <w:p w:rsidR="009428E5" w:rsidRDefault="009428E5" w:rsidP="009428E5">
      <w:pPr>
        <w:numPr>
          <w:ilvl w:val="0"/>
          <w:numId w:val="3"/>
        </w:numPr>
        <w:jc w:val="both"/>
      </w:pPr>
      <w:r>
        <w:t>Emo</w:t>
      </w:r>
      <w:r w:rsidR="00F27FF9">
        <w:t xml:space="preserve"> gas </w:t>
      </w:r>
      <w:r>
        <w:t>analisi</w:t>
      </w:r>
    </w:p>
    <w:p w:rsidR="009428E5" w:rsidRDefault="00F27FF9" w:rsidP="009428E5">
      <w:pPr>
        <w:numPr>
          <w:ilvl w:val="0"/>
          <w:numId w:val="3"/>
        </w:numPr>
        <w:jc w:val="both"/>
      </w:pPr>
      <w:r>
        <w:t xml:space="preserve">Ammonio e </w:t>
      </w:r>
      <w:r w:rsidR="009428E5">
        <w:t xml:space="preserve">Acido lattico </w:t>
      </w:r>
    </w:p>
    <w:p w:rsidR="00880CCC" w:rsidRDefault="009428E5" w:rsidP="00880CCC">
      <w:pPr>
        <w:numPr>
          <w:ilvl w:val="0"/>
          <w:numId w:val="3"/>
        </w:numPr>
        <w:jc w:val="both"/>
      </w:pPr>
      <w:r>
        <w:t>Biochimica (trasaminasi, creatinina, urea, acido urico, CK)</w:t>
      </w:r>
      <w:r w:rsidR="00880CCC">
        <w:t>,</w:t>
      </w:r>
      <w:r w:rsidR="00880CCC" w:rsidRPr="00880CCC">
        <w:t xml:space="preserve"> </w:t>
      </w:r>
      <w:r w:rsidR="00880CCC">
        <w:t>PCR</w:t>
      </w:r>
    </w:p>
    <w:p w:rsidR="009428E5" w:rsidRDefault="00880CCC" w:rsidP="009428E5">
      <w:pPr>
        <w:numPr>
          <w:ilvl w:val="0"/>
          <w:numId w:val="3"/>
        </w:numPr>
        <w:jc w:val="both"/>
      </w:pPr>
      <w:r>
        <w:t>Emocromo e coagulazione</w:t>
      </w:r>
    </w:p>
    <w:p w:rsidR="009428E5" w:rsidRPr="009428E5" w:rsidRDefault="009428E5" w:rsidP="009428E5">
      <w:pPr>
        <w:ind w:left="360"/>
        <w:jc w:val="both"/>
        <w:rPr>
          <w:u w:val="single"/>
        </w:rPr>
      </w:pPr>
      <w:r w:rsidRPr="009428E5">
        <w:rPr>
          <w:u w:val="single"/>
        </w:rPr>
        <w:t>Urine per</w:t>
      </w:r>
      <w:r>
        <w:rPr>
          <w:u w:val="single"/>
        </w:rPr>
        <w:t>:</w:t>
      </w:r>
    </w:p>
    <w:p w:rsidR="00FE7E94" w:rsidRDefault="009428E5" w:rsidP="009E71E1">
      <w:pPr>
        <w:numPr>
          <w:ilvl w:val="0"/>
          <w:numId w:val="3"/>
        </w:numPr>
        <w:jc w:val="both"/>
      </w:pPr>
      <w:r>
        <w:t>Multistix</w:t>
      </w:r>
    </w:p>
    <w:p w:rsidR="00D95906" w:rsidRDefault="00D95906" w:rsidP="009E71E1">
      <w:pPr>
        <w:jc w:val="both"/>
      </w:pPr>
      <w:r>
        <w:t>NB. Nel corso dello scompenso metabolico acuto, raccogliere e conser</w:t>
      </w:r>
      <w:r w:rsidR="00F27FF9">
        <w:t>vare un campione di siero ed uno</w:t>
      </w:r>
      <w:r>
        <w:t xml:space="preserve"> di urine (da congelare) per dosaggio di metaboliti da utilizzare per la conferma diagnostica.</w:t>
      </w:r>
    </w:p>
    <w:p w:rsidR="00D95906" w:rsidRPr="00694E36" w:rsidRDefault="00D95906" w:rsidP="009E71E1">
      <w:pPr>
        <w:jc w:val="both"/>
      </w:pPr>
    </w:p>
    <w:p w:rsidR="009E71E1" w:rsidRPr="00BC4B9C" w:rsidRDefault="00FE7E94" w:rsidP="009E71E1">
      <w:pPr>
        <w:jc w:val="both"/>
        <w:rPr>
          <w:u w:val="single"/>
        </w:rPr>
      </w:pPr>
      <w:r w:rsidRPr="00BC4B9C">
        <w:t xml:space="preserve">   </w:t>
      </w:r>
      <w:r w:rsidR="009E71E1" w:rsidRPr="00BC4B9C">
        <w:rPr>
          <w:u w:val="single"/>
        </w:rPr>
        <w:t>Indagini di 2° livello:</w:t>
      </w:r>
    </w:p>
    <w:p w:rsidR="00A07152" w:rsidRDefault="001F2E9B" w:rsidP="009E71E1">
      <w:pPr>
        <w:numPr>
          <w:ilvl w:val="0"/>
          <w:numId w:val="3"/>
        </w:numPr>
        <w:jc w:val="both"/>
      </w:pPr>
      <w:r>
        <w:t>Guthrie card per acilcarnitine</w:t>
      </w:r>
    </w:p>
    <w:p w:rsidR="001F2E9B" w:rsidRDefault="001F2E9B" w:rsidP="001F2E9B">
      <w:pPr>
        <w:numPr>
          <w:ilvl w:val="0"/>
          <w:numId w:val="3"/>
        </w:numPr>
        <w:jc w:val="both"/>
      </w:pPr>
      <w:r>
        <w:lastRenderedPageBreak/>
        <w:t>Siero per aminoacidemia (e acilcarnitine)</w:t>
      </w:r>
    </w:p>
    <w:p w:rsidR="001F2E9B" w:rsidRPr="009428E5" w:rsidRDefault="001F2E9B" w:rsidP="001F2E9B">
      <w:pPr>
        <w:ind w:left="360"/>
        <w:jc w:val="both"/>
        <w:rPr>
          <w:u w:val="single"/>
        </w:rPr>
      </w:pPr>
      <w:r w:rsidRPr="009428E5">
        <w:rPr>
          <w:u w:val="single"/>
        </w:rPr>
        <w:t>Urine per</w:t>
      </w:r>
      <w:r>
        <w:rPr>
          <w:u w:val="single"/>
        </w:rPr>
        <w:t>:</w:t>
      </w:r>
    </w:p>
    <w:p w:rsidR="001F2E9B" w:rsidRDefault="001F2E9B" w:rsidP="001F2E9B">
      <w:pPr>
        <w:numPr>
          <w:ilvl w:val="0"/>
          <w:numId w:val="3"/>
        </w:numPr>
        <w:jc w:val="both"/>
      </w:pPr>
      <w:r>
        <w:t>Acidi organici (ed eventualmente acido orotico)</w:t>
      </w:r>
    </w:p>
    <w:p w:rsidR="009E71E1" w:rsidRDefault="009E71E1" w:rsidP="009E71E1">
      <w:pPr>
        <w:jc w:val="both"/>
      </w:pPr>
    </w:p>
    <w:p w:rsidR="009E71E1" w:rsidRPr="00BC4B9C" w:rsidRDefault="009E71E1" w:rsidP="009E71E1">
      <w:pPr>
        <w:jc w:val="both"/>
        <w:rPr>
          <w:u w:val="single"/>
        </w:rPr>
      </w:pPr>
      <w:r w:rsidRPr="00BC4B9C">
        <w:rPr>
          <w:u w:val="single"/>
        </w:rPr>
        <w:t>Indagini di 3° livello:</w:t>
      </w:r>
    </w:p>
    <w:p w:rsidR="001F2E9B" w:rsidRDefault="00BC4B9C" w:rsidP="009E71E1">
      <w:pPr>
        <w:jc w:val="both"/>
      </w:pPr>
      <w:r>
        <w:t>V</w:t>
      </w:r>
      <w:r w:rsidR="001F2E9B">
        <w:t>arieranno sulla base del sospetto clinico</w:t>
      </w:r>
      <w:r w:rsidR="00F27FF9">
        <w:t>. Tra queste:</w:t>
      </w:r>
    </w:p>
    <w:p w:rsidR="001F2E9B" w:rsidRDefault="001F2E9B" w:rsidP="001F2E9B">
      <w:pPr>
        <w:numPr>
          <w:ilvl w:val="0"/>
          <w:numId w:val="3"/>
        </w:numPr>
        <w:jc w:val="both"/>
      </w:pPr>
      <w:r>
        <w:t>Eco-t</w:t>
      </w:r>
      <w:r w:rsidR="00F27FF9">
        <w:t>rans</w:t>
      </w:r>
      <w:r>
        <w:t>f</w:t>
      </w:r>
      <w:r w:rsidR="00F27FF9">
        <w:t>ontanellare</w:t>
      </w:r>
      <w:r>
        <w:t xml:space="preserve"> o imaging cerebrale</w:t>
      </w:r>
    </w:p>
    <w:p w:rsidR="001F2E9B" w:rsidRDefault="001F2E9B" w:rsidP="001F2E9B">
      <w:pPr>
        <w:numPr>
          <w:ilvl w:val="0"/>
          <w:numId w:val="3"/>
        </w:numPr>
        <w:jc w:val="both"/>
      </w:pPr>
      <w:r>
        <w:t>Ecg-ecocardiogramma</w:t>
      </w:r>
    </w:p>
    <w:p w:rsidR="001F2E9B" w:rsidRDefault="001F2E9B" w:rsidP="001F2E9B">
      <w:pPr>
        <w:numPr>
          <w:ilvl w:val="0"/>
          <w:numId w:val="3"/>
        </w:numPr>
        <w:jc w:val="both"/>
      </w:pPr>
      <w:r>
        <w:t xml:space="preserve">Analisi molecolare </w:t>
      </w:r>
    </w:p>
    <w:p w:rsidR="001F2E9B" w:rsidRDefault="001F2E9B" w:rsidP="001F2E9B">
      <w:pPr>
        <w:numPr>
          <w:ilvl w:val="0"/>
          <w:numId w:val="3"/>
        </w:numPr>
        <w:jc w:val="both"/>
      </w:pPr>
      <w:r>
        <w:t>Diagnosi biochimica (dosaggio enzimatico su fibroblasti cutanei o leucociti)</w:t>
      </w:r>
    </w:p>
    <w:p w:rsidR="00A07152" w:rsidRDefault="00A07152" w:rsidP="009E71E1">
      <w:pPr>
        <w:jc w:val="both"/>
      </w:pPr>
    </w:p>
    <w:p w:rsidR="00880CCC" w:rsidRPr="0039728E" w:rsidRDefault="009428E5" w:rsidP="009E71E1">
      <w:pPr>
        <w:jc w:val="both"/>
        <w:rPr>
          <w:b/>
        </w:rPr>
      </w:pPr>
      <w:r w:rsidRPr="009428E5">
        <w:rPr>
          <w:b/>
        </w:rPr>
        <w:t>GESTIONE DELL’IPERAMMONIEMIA</w:t>
      </w:r>
    </w:p>
    <w:p w:rsidR="0063478B" w:rsidRPr="0063478B" w:rsidRDefault="00880CCC" w:rsidP="009E71E1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Eliminare dalla dieta i metaboliti tossici. </w:t>
      </w:r>
      <w:r w:rsidR="009428E5" w:rsidRPr="0063478B">
        <w:rPr>
          <w:b/>
        </w:rPr>
        <w:t xml:space="preserve">Interrompere l’apporto </w:t>
      </w:r>
      <w:r w:rsidR="0063478B" w:rsidRPr="0063478B">
        <w:rPr>
          <w:b/>
        </w:rPr>
        <w:t>proteico</w:t>
      </w:r>
      <w:r>
        <w:rPr>
          <w:b/>
        </w:rPr>
        <w:t>.</w:t>
      </w:r>
    </w:p>
    <w:p w:rsidR="00BC4B9C" w:rsidRDefault="00BC4B9C" w:rsidP="00E44914">
      <w:pPr>
        <w:numPr>
          <w:ilvl w:val="0"/>
          <w:numId w:val="4"/>
        </w:numPr>
        <w:jc w:val="both"/>
      </w:pPr>
      <w:r w:rsidRPr="0063478B">
        <w:rPr>
          <w:b/>
        </w:rPr>
        <w:t>Bloccare il catabolismo</w:t>
      </w:r>
      <w:r>
        <w:t xml:space="preserve">. </w:t>
      </w:r>
      <w:r w:rsidR="00756CBD">
        <w:t xml:space="preserve">Infondere soluzione </w:t>
      </w:r>
      <w:r w:rsidR="00E44914">
        <w:t>Glucosata</w:t>
      </w:r>
      <w:r w:rsidR="00756CBD">
        <w:t xml:space="preserve"> al 10% (10m</w:t>
      </w:r>
      <w:r w:rsidR="0063478B">
        <w:t>g</w:t>
      </w:r>
      <w:r w:rsidR="00756CBD">
        <w:t>/Kg/min, circa 60 Kcal/Kg/die) con adeguate integrazioni di elettroliti</w:t>
      </w:r>
      <w:r w:rsidR="00E44914">
        <w:t>.</w:t>
      </w:r>
    </w:p>
    <w:p w:rsidR="00880CCC" w:rsidRDefault="00880CCC" w:rsidP="00880CCC">
      <w:pPr>
        <w:jc w:val="both"/>
      </w:pPr>
      <w:r>
        <w:rPr>
          <w:b/>
        </w:rPr>
        <w:t>Apporto calorico</w:t>
      </w:r>
      <w:r w:rsidRPr="00880CCC">
        <w:t>:</w:t>
      </w:r>
      <w:r>
        <w:t xml:space="preserve"> </w:t>
      </w:r>
    </w:p>
    <w:p w:rsidR="00880CCC" w:rsidRDefault="00880CCC" w:rsidP="00880CCC">
      <w:pPr>
        <w:jc w:val="both"/>
      </w:pPr>
      <w:r>
        <w:t>120-150 Kcal/Kg/die per i bambini</w:t>
      </w:r>
    </w:p>
    <w:p w:rsidR="00880CCC" w:rsidRDefault="00880CCC" w:rsidP="00880CCC">
      <w:pPr>
        <w:jc w:val="both"/>
      </w:pPr>
      <w:r>
        <w:t>80-100 Kcal/Kg/die per gli adolescenti</w:t>
      </w:r>
    </w:p>
    <w:p w:rsidR="00880CCC" w:rsidRDefault="00880CCC" w:rsidP="00880CCC">
      <w:pPr>
        <w:jc w:val="both"/>
      </w:pPr>
      <w:r>
        <w:t>40-50 Kcal/Ke/die per gli adulti</w:t>
      </w:r>
    </w:p>
    <w:p w:rsidR="00485D43" w:rsidRDefault="00485D43" w:rsidP="00485D43">
      <w:pPr>
        <w:jc w:val="both"/>
      </w:pPr>
      <w:r>
        <w:t xml:space="preserve">NB. Durante tali correzioni, </w:t>
      </w:r>
      <w:r w:rsidRPr="00F27FF9">
        <w:rPr>
          <w:u w:val="single"/>
        </w:rPr>
        <w:t>controllare le glicemia ed eventualmente utilizzare Insulina</w:t>
      </w:r>
    </w:p>
    <w:p w:rsidR="00880CCC" w:rsidRPr="00D95906" w:rsidRDefault="00880CCC" w:rsidP="00880CCC">
      <w:pPr>
        <w:numPr>
          <w:ilvl w:val="0"/>
          <w:numId w:val="4"/>
        </w:numPr>
        <w:jc w:val="both"/>
      </w:pPr>
      <w:r>
        <w:rPr>
          <w:b/>
        </w:rPr>
        <w:t xml:space="preserve">Idratazione abbondante (ed eventualmente utilizzo di diuretici). </w:t>
      </w:r>
    </w:p>
    <w:p w:rsidR="00880CCC" w:rsidRPr="00D95906" w:rsidRDefault="00880CCC" w:rsidP="00880CCC">
      <w:pPr>
        <w:ind w:left="720"/>
        <w:jc w:val="both"/>
      </w:pPr>
      <w:r w:rsidRPr="00D95906">
        <w:t>Scopo: Forzare escrezione urinaria di ammonio</w:t>
      </w:r>
    </w:p>
    <w:p w:rsidR="00E44914" w:rsidRPr="00E44914" w:rsidRDefault="00E44914" w:rsidP="00880CCC">
      <w:pPr>
        <w:numPr>
          <w:ilvl w:val="0"/>
          <w:numId w:val="4"/>
        </w:numPr>
        <w:jc w:val="both"/>
      </w:pPr>
      <w:r>
        <w:rPr>
          <w:b/>
        </w:rPr>
        <w:t xml:space="preserve">Rimuovere Ammonio </w:t>
      </w:r>
    </w:p>
    <w:p w:rsidR="00E44914" w:rsidRDefault="00E44914" w:rsidP="005F2C59">
      <w:pPr>
        <w:numPr>
          <w:ilvl w:val="0"/>
          <w:numId w:val="3"/>
        </w:numPr>
        <w:jc w:val="both"/>
      </w:pPr>
      <w:r w:rsidRPr="005F2C59">
        <w:t>Na-benzoato 250 mg/Kg</w:t>
      </w:r>
      <w:r w:rsidR="005F2C59">
        <w:t xml:space="preserve"> per os, oppure</w:t>
      </w:r>
    </w:p>
    <w:p w:rsidR="00014E0D" w:rsidRDefault="00D95906" w:rsidP="00014E0D">
      <w:pPr>
        <w:numPr>
          <w:ilvl w:val="0"/>
          <w:numId w:val="3"/>
        </w:numPr>
        <w:jc w:val="both"/>
      </w:pPr>
      <w:r w:rsidRPr="0039728E">
        <w:rPr>
          <w:u w:val="single"/>
        </w:rPr>
        <w:t>Na-</w:t>
      </w:r>
      <w:r w:rsidR="00880CCC" w:rsidRPr="0039728E">
        <w:rPr>
          <w:u w:val="single"/>
        </w:rPr>
        <w:t>fenilbutirrato 250 mg/Kg per os o SNG (</w:t>
      </w:r>
      <w:r w:rsidR="00880CCC" w:rsidRPr="0039728E">
        <w:rPr>
          <w:i/>
          <w:u w:val="single"/>
        </w:rPr>
        <w:t>Ammonaps 940 mg/g)</w:t>
      </w:r>
      <w:r w:rsidR="00014E0D" w:rsidRPr="00014E0D">
        <w:t xml:space="preserve"> </w:t>
      </w:r>
    </w:p>
    <w:p w:rsidR="00014E0D" w:rsidRPr="00014E0D" w:rsidRDefault="00014E0D" w:rsidP="00014E0D">
      <w:pPr>
        <w:numPr>
          <w:ilvl w:val="0"/>
          <w:numId w:val="3"/>
        </w:numPr>
        <w:jc w:val="both"/>
      </w:pPr>
      <w:r>
        <w:t>Na-fenilacetato 250 mg/kg ev</w:t>
      </w:r>
    </w:p>
    <w:p w:rsidR="00880CCC" w:rsidRPr="00014E0D" w:rsidRDefault="00014E0D" w:rsidP="00D911A1">
      <w:pPr>
        <w:pStyle w:val="Default"/>
        <w:numPr>
          <w:ilvl w:val="0"/>
          <w:numId w:val="3"/>
        </w:numPr>
      </w:pPr>
      <w:r>
        <w:t xml:space="preserve">Carbamil glutammato </w:t>
      </w:r>
      <w:r w:rsidRPr="00880CCC">
        <w:t>(</w:t>
      </w:r>
      <w:r>
        <w:rPr>
          <w:i/>
        </w:rPr>
        <w:t>Carbaglu cpr 200</w:t>
      </w:r>
      <w:r w:rsidRPr="00880CCC">
        <w:rPr>
          <w:i/>
        </w:rPr>
        <w:t>mg</w:t>
      </w:r>
      <w:r>
        <w:rPr>
          <w:i/>
        </w:rPr>
        <w:t>)</w:t>
      </w:r>
      <w:r>
        <w:t xml:space="preserve"> 100-200mg/Kg in attacco, seguito da 100-200mg/Kg/die in 3-4 dosi (emivita di circa 5-6h)</w:t>
      </w:r>
      <w:r w:rsidR="00D911A1">
        <w:t xml:space="preserve">; nel </w:t>
      </w:r>
      <w:r>
        <w:rPr>
          <w:sz w:val="22"/>
          <w:szCs w:val="22"/>
        </w:rPr>
        <w:t>deficienza primaria di N-acetilglutammato sintasi</w:t>
      </w:r>
      <w:r w:rsidR="00D911A1">
        <w:rPr>
          <w:sz w:val="22"/>
          <w:szCs w:val="22"/>
        </w:rPr>
        <w:t>,</w:t>
      </w:r>
      <w:r w:rsidR="00D911A1">
        <w:t xml:space="preserve"> </w:t>
      </w:r>
      <w:r w:rsidR="00D911A1">
        <w:rPr>
          <w:sz w:val="22"/>
          <w:szCs w:val="22"/>
        </w:rPr>
        <w:t>nell’ acidemia isovalerica,</w:t>
      </w:r>
      <w:r>
        <w:rPr>
          <w:sz w:val="22"/>
          <w:szCs w:val="22"/>
        </w:rPr>
        <w:t xml:space="preserve"> </w:t>
      </w:r>
      <w:r w:rsidR="00D911A1">
        <w:rPr>
          <w:sz w:val="22"/>
          <w:szCs w:val="22"/>
        </w:rPr>
        <w:t>nell’acidemia metilmalonica,</w:t>
      </w:r>
      <w:r>
        <w:rPr>
          <w:sz w:val="22"/>
          <w:szCs w:val="22"/>
        </w:rPr>
        <w:t xml:space="preserve"> </w:t>
      </w:r>
      <w:r w:rsidR="00D911A1">
        <w:rPr>
          <w:sz w:val="22"/>
          <w:szCs w:val="22"/>
        </w:rPr>
        <w:t>nell’</w:t>
      </w:r>
      <w:r>
        <w:rPr>
          <w:sz w:val="22"/>
          <w:szCs w:val="22"/>
        </w:rPr>
        <w:t xml:space="preserve">acidemia propionica. </w:t>
      </w:r>
    </w:p>
    <w:p w:rsidR="00F27FF9" w:rsidRPr="005F2C59" w:rsidRDefault="00F27FF9" w:rsidP="00F27FF9">
      <w:pPr>
        <w:jc w:val="both"/>
      </w:pPr>
      <w:r>
        <w:t>NB. Controllare i livelli di Na (che possono aumentare) e quelli di K (che possono essere ridotti) in seguito all’uso di Na-benzoato e fenilbutirrato</w:t>
      </w:r>
    </w:p>
    <w:p w:rsidR="005F2C59" w:rsidRDefault="006427E8" w:rsidP="00485D43">
      <w:pPr>
        <w:numPr>
          <w:ilvl w:val="0"/>
          <w:numId w:val="3"/>
        </w:numPr>
        <w:jc w:val="both"/>
      </w:pPr>
      <w:r>
        <w:t>Rimozione extracorporea se i livelli di Ammoniemia superano i 500uM</w:t>
      </w:r>
      <w:r w:rsidR="00485D43">
        <w:t xml:space="preserve"> (&gt;850mg/dl) via Emodiafiltrazione (oppure emofiltrazione o emodialisi) </w:t>
      </w:r>
    </w:p>
    <w:p w:rsidR="00485D43" w:rsidRDefault="00485D43" w:rsidP="00485D43">
      <w:pPr>
        <w:jc w:val="both"/>
      </w:pPr>
      <w:r>
        <w:t>NB. Non utilizzar exanguinotrasfusione perché provoca un aumento dell’ammoniemia plasmatica</w:t>
      </w:r>
    </w:p>
    <w:p w:rsidR="0039728E" w:rsidRPr="006427E8" w:rsidRDefault="0039728E" w:rsidP="0039728E">
      <w:pPr>
        <w:numPr>
          <w:ilvl w:val="0"/>
          <w:numId w:val="4"/>
        </w:numPr>
        <w:jc w:val="both"/>
      </w:pPr>
      <w:r>
        <w:rPr>
          <w:b/>
        </w:rPr>
        <w:t xml:space="preserve">Infondere intermedi del ciclo dell’urea (arginina o citrullina) </w:t>
      </w:r>
    </w:p>
    <w:p w:rsidR="0039728E" w:rsidRDefault="0039728E" w:rsidP="00096C63">
      <w:pPr>
        <w:numPr>
          <w:ilvl w:val="0"/>
          <w:numId w:val="3"/>
        </w:numPr>
        <w:jc w:val="both"/>
      </w:pPr>
      <w:r w:rsidRPr="006427E8">
        <w:t xml:space="preserve">Arginina cloridrato 360mg/Kg </w:t>
      </w:r>
    </w:p>
    <w:p w:rsidR="00096C63" w:rsidRDefault="00096C63" w:rsidP="00096C63">
      <w:pPr>
        <w:numPr>
          <w:ilvl w:val="0"/>
          <w:numId w:val="3"/>
        </w:numPr>
        <w:jc w:val="both"/>
      </w:pPr>
      <w:r w:rsidRPr="00096C63">
        <w:t>L- Citrullina 100 - 350 mg/kg/</w:t>
      </w:r>
      <w:r w:rsidRPr="00096C63">
        <w:rPr>
          <w:i/>
          <w:iCs/>
        </w:rPr>
        <w:t xml:space="preserve">die </w:t>
      </w:r>
      <w:r w:rsidRPr="00096C63">
        <w:t>per via orale (OTC, CPS</w:t>
      </w:r>
      <w:r>
        <w:t xml:space="preserve"> </w:t>
      </w:r>
      <w:r w:rsidRPr="00096C63">
        <w:t>e NAGS)</w:t>
      </w:r>
    </w:p>
    <w:p w:rsidR="0039728E" w:rsidRDefault="0039728E" w:rsidP="00485D43">
      <w:pPr>
        <w:jc w:val="both"/>
      </w:pPr>
    </w:p>
    <w:p w:rsidR="0039728E" w:rsidRPr="00880CCC" w:rsidRDefault="0039728E" w:rsidP="0039728E">
      <w:pPr>
        <w:ind w:firstLine="360"/>
        <w:jc w:val="both"/>
        <w:rPr>
          <w:b/>
        </w:rPr>
      </w:pPr>
      <w:r>
        <w:rPr>
          <w:b/>
        </w:rPr>
        <w:t>Nelle prime 2h</w:t>
      </w:r>
    </w:p>
    <w:p w:rsidR="0039728E" w:rsidRDefault="0039728E" w:rsidP="0039728E">
      <w:pPr>
        <w:numPr>
          <w:ilvl w:val="0"/>
          <w:numId w:val="9"/>
        </w:numPr>
        <w:jc w:val="both"/>
      </w:pPr>
      <w:r w:rsidRPr="00880CCC">
        <w:t xml:space="preserve">250 mg/kg di </w:t>
      </w:r>
      <w:r w:rsidRPr="00880CCC">
        <w:rPr>
          <w:b/>
        </w:rPr>
        <w:t xml:space="preserve">Na-benzoato </w:t>
      </w:r>
      <w:r w:rsidRPr="00880CCC">
        <w:t xml:space="preserve">(fl 1gr/10 ml) </w:t>
      </w:r>
    </w:p>
    <w:p w:rsidR="0039728E" w:rsidRDefault="0039728E" w:rsidP="0039728E">
      <w:pPr>
        <w:numPr>
          <w:ilvl w:val="0"/>
          <w:numId w:val="9"/>
        </w:numPr>
        <w:jc w:val="both"/>
      </w:pPr>
      <w:r w:rsidRPr="0039728E">
        <w:rPr>
          <w:b/>
        </w:rPr>
        <w:t xml:space="preserve">Arginina </w:t>
      </w:r>
      <w:r w:rsidRPr="00880CCC">
        <w:t xml:space="preserve">(30%) </w:t>
      </w:r>
    </w:p>
    <w:p w:rsidR="0039728E" w:rsidRDefault="0039728E" w:rsidP="0039728E">
      <w:pPr>
        <w:ind w:left="360"/>
        <w:jc w:val="both"/>
      </w:pPr>
      <w:r w:rsidRPr="00880CCC">
        <w:t xml:space="preserve">210 mg/Kg (nelle seguenti patologie </w:t>
      </w:r>
      <w:r w:rsidRPr="00880CCC">
        <w:rPr>
          <w:b/>
        </w:rPr>
        <w:t>se note</w:t>
      </w:r>
      <w:r w:rsidRPr="00880CCC">
        <w:t xml:space="preserve">: OCT/CPS) oppure </w:t>
      </w:r>
    </w:p>
    <w:p w:rsidR="0039728E" w:rsidRPr="00880CCC" w:rsidRDefault="0039728E" w:rsidP="0039728E">
      <w:pPr>
        <w:ind w:left="360"/>
        <w:jc w:val="both"/>
      </w:pPr>
      <w:r w:rsidRPr="00880CCC">
        <w:t xml:space="preserve">660 mg/Kg (nelle seguenti patologie </w:t>
      </w:r>
      <w:r w:rsidRPr="00880CCC">
        <w:rPr>
          <w:b/>
        </w:rPr>
        <w:t>se note</w:t>
      </w:r>
      <w:r w:rsidRPr="00880CCC">
        <w:t>: AL, AS)</w:t>
      </w:r>
    </w:p>
    <w:p w:rsidR="0039728E" w:rsidRPr="0039728E" w:rsidRDefault="0039728E" w:rsidP="0039728E">
      <w:pPr>
        <w:ind w:firstLine="360"/>
        <w:jc w:val="both"/>
        <w:rPr>
          <w:u w:val="single"/>
        </w:rPr>
      </w:pPr>
      <w:r w:rsidRPr="0039728E">
        <w:rPr>
          <w:u w:val="single"/>
        </w:rPr>
        <w:t>NB. I farmaci vanno diluiti in 25-35 ml/Kg di glucosata 8% e somministrati in 90 minuti</w:t>
      </w:r>
    </w:p>
    <w:p w:rsidR="0039728E" w:rsidRPr="00880CCC" w:rsidRDefault="0039728E" w:rsidP="0039728E">
      <w:pPr>
        <w:ind w:left="720"/>
        <w:jc w:val="both"/>
      </w:pPr>
    </w:p>
    <w:p w:rsidR="00DF7D11" w:rsidRPr="00DF7D11" w:rsidRDefault="00E44914" w:rsidP="00880CCC">
      <w:pPr>
        <w:numPr>
          <w:ilvl w:val="0"/>
          <w:numId w:val="4"/>
        </w:numPr>
        <w:jc w:val="both"/>
      </w:pPr>
      <w:r>
        <w:rPr>
          <w:b/>
        </w:rPr>
        <w:t>C</w:t>
      </w:r>
      <w:r w:rsidR="006427E8">
        <w:rPr>
          <w:b/>
        </w:rPr>
        <w:t xml:space="preserve">arnitina </w:t>
      </w:r>
      <w:r w:rsidR="00DF7D11">
        <w:rPr>
          <w:b/>
        </w:rPr>
        <w:t>100mg/Kg</w:t>
      </w:r>
    </w:p>
    <w:p w:rsidR="006427E8" w:rsidRPr="00DF7D11" w:rsidRDefault="00485D43" w:rsidP="00DF7D11">
      <w:pPr>
        <w:ind w:left="360"/>
        <w:jc w:val="both"/>
      </w:pPr>
      <w:r>
        <w:t>Nelle organico acidurie e talora nei disturbi dell’ossidazione degli acidi grassi</w:t>
      </w:r>
    </w:p>
    <w:p w:rsidR="00E44914" w:rsidRPr="006427E8" w:rsidRDefault="006427E8" w:rsidP="006427E8">
      <w:pPr>
        <w:ind w:left="360"/>
        <w:jc w:val="both"/>
      </w:pPr>
      <w:r w:rsidRPr="006427E8">
        <w:t xml:space="preserve">Scopo: </w:t>
      </w:r>
      <w:r w:rsidR="00E44914" w:rsidRPr="006427E8">
        <w:t>per supporta</w:t>
      </w:r>
      <w:r>
        <w:t>re il metabolismo mitocondriale</w:t>
      </w:r>
    </w:p>
    <w:p w:rsidR="00880CCC" w:rsidRPr="00880CCC" w:rsidRDefault="00880CCC" w:rsidP="00880CCC">
      <w:pPr>
        <w:numPr>
          <w:ilvl w:val="0"/>
          <w:numId w:val="4"/>
        </w:numPr>
        <w:jc w:val="both"/>
      </w:pPr>
      <w:r w:rsidRPr="00880CCC">
        <w:rPr>
          <w:b/>
        </w:rPr>
        <w:t xml:space="preserve">Se </w:t>
      </w:r>
      <w:r>
        <w:rPr>
          <w:b/>
        </w:rPr>
        <w:t xml:space="preserve">presente </w:t>
      </w:r>
      <w:r w:rsidRPr="00880CCC">
        <w:rPr>
          <w:b/>
        </w:rPr>
        <w:t>vomito</w:t>
      </w:r>
      <w:r>
        <w:t>: sospendere alimentazione per os, ed iniziare alimentazione per via parenterale, inoltre se necessario, valutare opportunità di somministrare:</w:t>
      </w:r>
    </w:p>
    <w:p w:rsidR="005F2C59" w:rsidRDefault="00880CCC" w:rsidP="00880CCC">
      <w:pPr>
        <w:ind w:left="720"/>
        <w:jc w:val="both"/>
      </w:pPr>
      <w:r>
        <w:rPr>
          <w:b/>
        </w:rPr>
        <w:t xml:space="preserve">Antiemetico, </w:t>
      </w:r>
      <w:r w:rsidR="005F2C59">
        <w:t xml:space="preserve">bolo di Ondansetron </w:t>
      </w:r>
      <w:r w:rsidR="0039728E">
        <w:t xml:space="preserve">(Zofran) </w:t>
      </w:r>
      <w:r w:rsidR="005F2C59">
        <w:t>0.15mg/Kg ev</w:t>
      </w:r>
      <w:r w:rsidR="0039728E">
        <w:t xml:space="preserve"> (non usare se paziente in come)</w:t>
      </w:r>
    </w:p>
    <w:p w:rsidR="00744C29" w:rsidRDefault="00744C29" w:rsidP="00744C29">
      <w:pPr>
        <w:jc w:val="both"/>
      </w:pPr>
    </w:p>
    <w:p w:rsidR="00880CCC" w:rsidRDefault="00744C29" w:rsidP="00744C29">
      <w:pPr>
        <w:jc w:val="both"/>
      </w:pPr>
      <w:r>
        <w:t>Nota: L-arginina cloridrato, Na-benzoato e carnitina possono essere diluite in glucosata</w:t>
      </w:r>
      <w:r w:rsidR="00F27FF9">
        <w:t xml:space="preserve"> 5</w:t>
      </w:r>
      <w:r w:rsidR="00485D43">
        <w:t>%</w:t>
      </w:r>
      <w:r w:rsidR="00880CCC">
        <w:t xml:space="preserve"> </w:t>
      </w:r>
    </w:p>
    <w:p w:rsidR="00880CCC" w:rsidRPr="00C46CDB" w:rsidRDefault="00880CCC" w:rsidP="00C46CDB">
      <w:pPr>
        <w:numPr>
          <w:ilvl w:val="0"/>
          <w:numId w:val="4"/>
        </w:numPr>
        <w:jc w:val="both"/>
      </w:pPr>
      <w:r w:rsidRPr="00880CCC">
        <w:t xml:space="preserve">In caso di </w:t>
      </w:r>
      <w:r w:rsidRPr="00880CCC">
        <w:rPr>
          <w:b/>
        </w:rPr>
        <w:t>ipertensione endocranica</w:t>
      </w:r>
      <w:r w:rsidRPr="00880CCC">
        <w:t xml:space="preserve"> utilizzare una terapia convenzionale (ad es. con mannitolo). </w:t>
      </w:r>
      <w:r w:rsidRPr="00C46CDB">
        <w:t>Gli steroidi sono sconsigliati perché provocano un bilancio negativo di azoto. Anche l’iperventilazione è sconsigliata.</w:t>
      </w:r>
    </w:p>
    <w:p w:rsidR="00880CCC" w:rsidRPr="00880CCC" w:rsidRDefault="00880CCC" w:rsidP="00880CCC">
      <w:pPr>
        <w:ind w:left="720"/>
        <w:jc w:val="both"/>
      </w:pPr>
    </w:p>
    <w:p w:rsidR="00880CCC" w:rsidRPr="00880CCC" w:rsidRDefault="00880CCC" w:rsidP="00880CCC">
      <w:pPr>
        <w:ind w:left="720"/>
        <w:jc w:val="both"/>
        <w:rPr>
          <w:b/>
        </w:rPr>
      </w:pPr>
      <w:r w:rsidRPr="00880CCC">
        <w:rPr>
          <w:b/>
        </w:rPr>
        <w:t xml:space="preserve">Controllare l’ammoniemia dopo </w:t>
      </w:r>
      <w:r w:rsidR="0039728E">
        <w:rPr>
          <w:b/>
        </w:rPr>
        <w:t>2h</w:t>
      </w:r>
      <w:r w:rsidRPr="00880CCC">
        <w:rPr>
          <w:b/>
        </w:rPr>
        <w:t>:</w:t>
      </w:r>
    </w:p>
    <w:p w:rsidR="00880CCC" w:rsidRPr="00880CCC" w:rsidRDefault="00880CCC" w:rsidP="00880CCC">
      <w:pPr>
        <w:ind w:left="720"/>
        <w:jc w:val="both"/>
        <w:rPr>
          <w:b/>
        </w:rPr>
      </w:pPr>
    </w:p>
    <w:p w:rsidR="00880CCC" w:rsidRPr="00C46CDB" w:rsidRDefault="00880CCC" w:rsidP="00C46CDB">
      <w:pPr>
        <w:ind w:left="720"/>
        <w:jc w:val="both"/>
      </w:pPr>
      <w:r w:rsidRPr="00C46CDB">
        <w:t>Se dopo la dose d’attacco non si ottiene una significativa riduzione dell’ammoniemia</w:t>
      </w:r>
      <w:r w:rsidR="0039728E" w:rsidRPr="00C46CDB">
        <w:t xml:space="preserve"> rispetto ai valori di partenza (o se i valori di NH3 si mantengono&gt;200 mcmol/l), </w:t>
      </w:r>
      <w:r w:rsidRPr="00C46CDB">
        <w:t xml:space="preserve">programmare eventuale emodialisi. </w:t>
      </w:r>
      <w:r w:rsidR="00C46CDB">
        <w:t xml:space="preserve"> </w:t>
      </w:r>
      <w:r w:rsidRPr="00C46CDB">
        <w:t>Non è utile ripetere la dose di attacco</w:t>
      </w:r>
      <w:r w:rsidR="0039728E" w:rsidRPr="00C46CDB">
        <w:t>.</w:t>
      </w:r>
    </w:p>
    <w:p w:rsidR="00C46CDB" w:rsidRDefault="00C46CDB" w:rsidP="00880CCC">
      <w:pPr>
        <w:ind w:left="720"/>
        <w:jc w:val="both"/>
      </w:pPr>
    </w:p>
    <w:p w:rsidR="00880CCC" w:rsidRPr="00880CCC" w:rsidRDefault="00880CCC" w:rsidP="00880CCC">
      <w:pPr>
        <w:ind w:left="720"/>
        <w:jc w:val="both"/>
      </w:pPr>
      <w:r w:rsidRPr="00880CCC">
        <w:t>Altrimenti procedere con la seguente terapia di mantenimento:</w:t>
      </w:r>
    </w:p>
    <w:p w:rsidR="00880CCC" w:rsidRPr="00880CCC" w:rsidRDefault="00880CCC" w:rsidP="00880CCC">
      <w:pPr>
        <w:ind w:left="720"/>
        <w:jc w:val="both"/>
        <w:rPr>
          <w:b/>
        </w:rPr>
      </w:pPr>
    </w:p>
    <w:p w:rsidR="00880CCC" w:rsidRPr="00880CCC" w:rsidRDefault="00880CCC" w:rsidP="00880CCC">
      <w:pPr>
        <w:numPr>
          <w:ilvl w:val="0"/>
          <w:numId w:val="9"/>
        </w:numPr>
        <w:jc w:val="both"/>
      </w:pPr>
      <w:r w:rsidRPr="00880CCC">
        <w:t xml:space="preserve">250 mg/kg di </w:t>
      </w:r>
      <w:r w:rsidRPr="00880CCC">
        <w:rPr>
          <w:b/>
        </w:rPr>
        <w:t>Na-benzoato</w:t>
      </w:r>
      <w:r w:rsidRPr="00880CCC">
        <w:t xml:space="preserve"> (fl 1gr/10 ml) </w:t>
      </w:r>
    </w:p>
    <w:p w:rsidR="00880CCC" w:rsidRPr="00880CCC" w:rsidRDefault="00880CCC" w:rsidP="00880CCC">
      <w:pPr>
        <w:numPr>
          <w:ilvl w:val="0"/>
          <w:numId w:val="9"/>
        </w:numPr>
        <w:jc w:val="both"/>
      </w:pPr>
      <w:r w:rsidRPr="00880CCC">
        <w:rPr>
          <w:b/>
        </w:rPr>
        <w:t xml:space="preserve">Arginina </w:t>
      </w:r>
      <w:r w:rsidRPr="00880CCC">
        <w:t xml:space="preserve">(30%) 210 mg/Kg (nelle seguenti patologie </w:t>
      </w:r>
      <w:r w:rsidRPr="00880CCC">
        <w:rPr>
          <w:b/>
        </w:rPr>
        <w:t>se note</w:t>
      </w:r>
      <w:r w:rsidRPr="00880CCC">
        <w:t xml:space="preserve">: OCT/CPS) oppure 660 mg/Kg (nelle seguenti patologie </w:t>
      </w:r>
      <w:r w:rsidRPr="00880CCC">
        <w:rPr>
          <w:b/>
        </w:rPr>
        <w:t>se note</w:t>
      </w:r>
      <w:r w:rsidRPr="00880CCC">
        <w:t>: AL, AS)</w:t>
      </w:r>
    </w:p>
    <w:p w:rsidR="00880CCC" w:rsidRPr="00880CCC" w:rsidRDefault="00880CCC" w:rsidP="00880CCC">
      <w:pPr>
        <w:ind w:left="720"/>
        <w:jc w:val="both"/>
      </w:pPr>
    </w:p>
    <w:p w:rsidR="00880CCC" w:rsidRDefault="00880CCC" w:rsidP="00880CCC">
      <w:pPr>
        <w:ind w:left="720"/>
        <w:jc w:val="both"/>
      </w:pPr>
      <w:r w:rsidRPr="00880CCC">
        <w:t>I farmaci vanno diluiti in 25-35 ml/Kg di glucosata 8% e infusi nelle</w:t>
      </w:r>
      <w:r w:rsidR="0039728E">
        <w:t xml:space="preserve"> </w:t>
      </w:r>
      <w:r w:rsidRPr="00880CCC">
        <w:t xml:space="preserve">24 ore successive </w:t>
      </w:r>
    </w:p>
    <w:p w:rsidR="0039728E" w:rsidRPr="00880CCC" w:rsidRDefault="0039728E" w:rsidP="00880CCC">
      <w:pPr>
        <w:ind w:left="720"/>
        <w:jc w:val="both"/>
      </w:pPr>
    </w:p>
    <w:p w:rsidR="00880CCC" w:rsidRPr="00880CCC" w:rsidRDefault="00880CCC" w:rsidP="00880CCC">
      <w:pPr>
        <w:ind w:left="720"/>
        <w:jc w:val="both"/>
      </w:pPr>
      <w:r w:rsidRPr="00880CCC">
        <w:t xml:space="preserve">Continuare se possibile la terapia con 250 mg/Kg di </w:t>
      </w:r>
      <w:r w:rsidRPr="00880CCC">
        <w:rPr>
          <w:b/>
        </w:rPr>
        <w:t>Nafenilbutirrato</w:t>
      </w:r>
      <w:r w:rsidRPr="00880CCC">
        <w:t xml:space="preserve"> per os (</w:t>
      </w:r>
      <w:r w:rsidRPr="00880CCC">
        <w:rPr>
          <w:i/>
        </w:rPr>
        <w:t xml:space="preserve">Ammonaps 940 mg/g </w:t>
      </w:r>
      <w:r w:rsidRPr="00880CCC">
        <w:t>presente nel frigorifero della medicheria al IV piano)</w:t>
      </w:r>
    </w:p>
    <w:p w:rsidR="00880CCC" w:rsidRPr="00880CCC" w:rsidRDefault="00880CCC" w:rsidP="00880CCC">
      <w:pPr>
        <w:ind w:left="720"/>
        <w:jc w:val="both"/>
      </w:pPr>
    </w:p>
    <w:p w:rsidR="00880CCC" w:rsidRPr="00880CCC" w:rsidRDefault="00C46CDB" w:rsidP="00880CCC">
      <w:pPr>
        <w:ind w:left="720"/>
        <w:jc w:val="both"/>
      </w:pPr>
      <w:r>
        <w:rPr>
          <w:b/>
        </w:rPr>
        <w:t>Monitoraggio:</w:t>
      </w:r>
    </w:p>
    <w:p w:rsidR="00880CCC" w:rsidRPr="00880CCC" w:rsidRDefault="00880CCC" w:rsidP="00880CCC">
      <w:pPr>
        <w:ind w:left="720"/>
        <w:jc w:val="both"/>
      </w:pPr>
      <w:r w:rsidRPr="00880CCC">
        <w:t>Monitorare l’ammoniemia (ad es. ogni 6/8 ore).</w:t>
      </w:r>
    </w:p>
    <w:p w:rsidR="00880CCC" w:rsidRPr="00880CCC" w:rsidRDefault="00880CCC" w:rsidP="00C46CDB">
      <w:pPr>
        <w:ind w:left="720"/>
        <w:jc w:val="both"/>
      </w:pPr>
      <w:r w:rsidRPr="00880CCC">
        <w:t>Se l’ammoniemia si normalizza (o raggiunge stabilmente valori quasi normali) si può ricominciare la terapia per os. I farmaci utilizzati per il protocollo di emergenza possono essere tossici a dosi elev</w:t>
      </w:r>
      <w:r w:rsidR="00C46CDB">
        <w:t>ate (aderire al protocollo per i dosaggi).</w:t>
      </w:r>
    </w:p>
    <w:p w:rsidR="00880CCC" w:rsidRPr="00880CCC" w:rsidRDefault="00880CCC" w:rsidP="00880CCC">
      <w:pPr>
        <w:ind w:left="720"/>
        <w:jc w:val="both"/>
        <w:rPr>
          <w:bCs/>
          <w:u w:val="single"/>
        </w:rPr>
      </w:pPr>
    </w:p>
    <w:p w:rsidR="00880CCC" w:rsidRPr="00774447" w:rsidRDefault="00880CCC" w:rsidP="00880CCC">
      <w:pPr>
        <w:ind w:left="720"/>
        <w:jc w:val="both"/>
      </w:pPr>
    </w:p>
    <w:sectPr w:rsidR="00880CCC" w:rsidRPr="00774447" w:rsidSect="00A07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E2B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A47CB"/>
    <w:multiLevelType w:val="hybridMultilevel"/>
    <w:tmpl w:val="066CA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3335"/>
    <w:multiLevelType w:val="hybridMultilevel"/>
    <w:tmpl w:val="23F24E78"/>
    <w:lvl w:ilvl="0" w:tplc="4560F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3E72"/>
    <w:multiLevelType w:val="hybridMultilevel"/>
    <w:tmpl w:val="A52AC19C"/>
    <w:lvl w:ilvl="0" w:tplc="4560FEF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D06100"/>
    <w:multiLevelType w:val="hybridMultilevel"/>
    <w:tmpl w:val="8B46766C"/>
    <w:lvl w:ilvl="0" w:tplc="CA78E54E">
      <w:start w:val="40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71F87"/>
    <w:multiLevelType w:val="hybridMultilevel"/>
    <w:tmpl w:val="E6EA25A6"/>
    <w:lvl w:ilvl="0" w:tplc="8CD8D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1300E"/>
    <w:multiLevelType w:val="hybridMultilevel"/>
    <w:tmpl w:val="8BF26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3E7"/>
    <w:multiLevelType w:val="hybridMultilevel"/>
    <w:tmpl w:val="97D0AEE0"/>
    <w:lvl w:ilvl="0" w:tplc="8CD8D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F4E94"/>
    <w:multiLevelType w:val="hybridMultilevel"/>
    <w:tmpl w:val="A508BB7C"/>
    <w:lvl w:ilvl="0" w:tplc="4560F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B90BA8"/>
    <w:rsid w:val="00014E0D"/>
    <w:rsid w:val="0002456C"/>
    <w:rsid w:val="0002496A"/>
    <w:rsid w:val="00052CBA"/>
    <w:rsid w:val="000769F6"/>
    <w:rsid w:val="000810C1"/>
    <w:rsid w:val="00096C63"/>
    <w:rsid w:val="000D5020"/>
    <w:rsid w:val="001114ED"/>
    <w:rsid w:val="001B2947"/>
    <w:rsid w:val="001F2E9B"/>
    <w:rsid w:val="00212CB0"/>
    <w:rsid w:val="002813CA"/>
    <w:rsid w:val="002B2DC7"/>
    <w:rsid w:val="003402EF"/>
    <w:rsid w:val="00352E84"/>
    <w:rsid w:val="00376152"/>
    <w:rsid w:val="00396DCB"/>
    <w:rsid w:val="0039728E"/>
    <w:rsid w:val="00466546"/>
    <w:rsid w:val="00485D43"/>
    <w:rsid w:val="004E162A"/>
    <w:rsid w:val="00505AC9"/>
    <w:rsid w:val="00515A5F"/>
    <w:rsid w:val="00570039"/>
    <w:rsid w:val="00576E0F"/>
    <w:rsid w:val="005C4DC9"/>
    <w:rsid w:val="005D64E7"/>
    <w:rsid w:val="005F2C59"/>
    <w:rsid w:val="00607B82"/>
    <w:rsid w:val="00623F17"/>
    <w:rsid w:val="0063478B"/>
    <w:rsid w:val="006427E8"/>
    <w:rsid w:val="006907B7"/>
    <w:rsid w:val="0069328D"/>
    <w:rsid w:val="00694E36"/>
    <w:rsid w:val="00705B92"/>
    <w:rsid w:val="00707825"/>
    <w:rsid w:val="00744C29"/>
    <w:rsid w:val="00756CBD"/>
    <w:rsid w:val="00762284"/>
    <w:rsid w:val="00774447"/>
    <w:rsid w:val="007D0046"/>
    <w:rsid w:val="00831C97"/>
    <w:rsid w:val="008353E6"/>
    <w:rsid w:val="00836A67"/>
    <w:rsid w:val="008411D5"/>
    <w:rsid w:val="00880CCC"/>
    <w:rsid w:val="00893B59"/>
    <w:rsid w:val="00895FFF"/>
    <w:rsid w:val="008D0D96"/>
    <w:rsid w:val="009428E5"/>
    <w:rsid w:val="0098025C"/>
    <w:rsid w:val="00984F11"/>
    <w:rsid w:val="009E71E1"/>
    <w:rsid w:val="00A0063A"/>
    <w:rsid w:val="00A07152"/>
    <w:rsid w:val="00A16E6A"/>
    <w:rsid w:val="00A56116"/>
    <w:rsid w:val="00B3130B"/>
    <w:rsid w:val="00B90BA8"/>
    <w:rsid w:val="00BC4B9C"/>
    <w:rsid w:val="00BE795A"/>
    <w:rsid w:val="00C05007"/>
    <w:rsid w:val="00C2062E"/>
    <w:rsid w:val="00C46CDB"/>
    <w:rsid w:val="00CF6A4F"/>
    <w:rsid w:val="00D4139D"/>
    <w:rsid w:val="00D55A00"/>
    <w:rsid w:val="00D74C17"/>
    <w:rsid w:val="00D911A1"/>
    <w:rsid w:val="00D935D3"/>
    <w:rsid w:val="00D95906"/>
    <w:rsid w:val="00DE4608"/>
    <w:rsid w:val="00DF7D11"/>
    <w:rsid w:val="00E44914"/>
    <w:rsid w:val="00E67AD4"/>
    <w:rsid w:val="00F27FF9"/>
    <w:rsid w:val="00FB0DE5"/>
    <w:rsid w:val="00FE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6E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4DC9"/>
    <w:rPr>
      <w:strike w:val="0"/>
      <w:dstrike w:val="0"/>
      <w:color w:val="316C9D"/>
      <w:u w:val="none"/>
      <w:effect w:val="none"/>
    </w:rPr>
  </w:style>
  <w:style w:type="table" w:styleId="Grigliatabella">
    <w:name w:val="Table Grid"/>
    <w:basedOn w:val="Tabellanormale"/>
    <w:rsid w:val="00024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E79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4E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PACC INFEZIONI RESPIRATORIE RICORRENTI (IRR)</vt:lpstr>
      <vt:lpstr>PACC INFEZIONI RESPIRATORIE RICORRENTI (IRR)</vt:lpstr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PACC INFEZIONI RESPIRATORIE RICORRENTI (IRR)</dc:title>
  <dc:creator>Santamaria</dc:creator>
  <cp:lastModifiedBy>utente</cp:lastModifiedBy>
  <cp:revision>2</cp:revision>
  <cp:lastPrinted>2014-01-09T12:11:00Z</cp:lastPrinted>
  <dcterms:created xsi:type="dcterms:W3CDTF">2015-02-02T15:12:00Z</dcterms:created>
  <dcterms:modified xsi:type="dcterms:W3CDTF">2015-02-02T15:12:00Z</dcterms:modified>
</cp:coreProperties>
</file>